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FF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6166_752773848"/>
      <w:bookmarkEnd w:id="0"/>
      <w:r w:rsidRPr="006D2F9B">
        <w:rPr>
          <w:rFonts w:ascii="Times New Roman" w:hAnsi="Times New Roman"/>
          <w:sz w:val="28"/>
          <w:szCs w:val="28"/>
        </w:rPr>
        <w:t>EXCELENTÍSSIMO SENHOR DOUTOR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DESEMBARGADOR</w:t>
      </w:r>
      <w:r w:rsidRPr="006D2F9B">
        <w:rPr>
          <w:rFonts w:ascii="Times New Roman" w:hAnsi="Times New Roman" w:cs="Times New Roman"/>
          <w:sz w:val="28"/>
          <w:szCs w:val="28"/>
        </w:rPr>
        <w:t xml:space="preserve"> PRESIDENTE DO E</w:t>
      </w:r>
      <w:r>
        <w:rPr>
          <w:rFonts w:ascii="Times New Roman" w:hAnsi="Times New Roman" w:cs="Times New Roman"/>
          <w:sz w:val="28"/>
          <w:szCs w:val="28"/>
        </w:rPr>
        <w:t>GRÉGIO</w:t>
      </w:r>
      <w:r w:rsidRPr="006D2F9B">
        <w:rPr>
          <w:rFonts w:ascii="Times New Roman" w:hAnsi="Times New Roman" w:cs="Times New Roman"/>
          <w:sz w:val="28"/>
          <w:szCs w:val="28"/>
        </w:rPr>
        <w:t xml:space="preserve"> TRIBUNAL (...).</w:t>
      </w:r>
    </w:p>
    <w:p w:rsid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F9B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F9B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>Apelação n. (...)</w:t>
      </w:r>
    </w:p>
    <w:p w:rsidR="008E03FF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>Origem: (...)</w:t>
      </w:r>
    </w:p>
    <w:p w:rsid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F9B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(...), por seus advogados e procuradores, na ação de cobrança de débitos condominiais pelo procedimento comum (nos embargos à execução de débitos condominiais) que lhes 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move(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...), não se conformando, data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venia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, com o v. acórdão da (...) Câmara que  decidiu o recurso de apelação, vem, respeitosamente, interpor o presente</w:t>
      </w:r>
    </w:p>
    <w:p w:rsidR="006D2F9B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Default="006D2F9B" w:rsidP="006D2F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RECURSO ESPECIAL </w:t>
      </w:r>
      <w:r w:rsidRPr="006D2F9B">
        <w:rPr>
          <w:rFonts w:ascii="Times New Roman" w:hAnsi="Times New Roman" w:cs="Times New Roman"/>
          <w:sz w:val="28"/>
          <w:szCs w:val="28"/>
        </w:rPr>
        <w:t xml:space="preserve">COM </w:t>
      </w:r>
      <w:r>
        <w:rPr>
          <w:rFonts w:ascii="Times New Roman" w:hAnsi="Times New Roman" w:cs="Times New Roman"/>
          <w:sz w:val="28"/>
          <w:szCs w:val="28"/>
        </w:rPr>
        <w:t xml:space="preserve">PEDIDO DE EFEITO SUSPENSIVO (CPC, </w:t>
      </w:r>
      <w:r w:rsidRPr="006D2F9B">
        <w:rPr>
          <w:rFonts w:ascii="Times New Roman" w:hAnsi="Times New Roman" w:cs="Times New Roman"/>
          <w:sz w:val="28"/>
          <w:szCs w:val="28"/>
        </w:rPr>
        <w:t>ART.</w:t>
      </w:r>
      <w:r w:rsidR="008E03FF" w:rsidRPr="006D2F9B">
        <w:rPr>
          <w:rFonts w:ascii="Times New Roman" w:hAnsi="Times New Roman" w:cs="Times New Roman"/>
          <w:sz w:val="28"/>
          <w:szCs w:val="28"/>
        </w:rPr>
        <w:t>1.029, § 5º)</w:t>
      </w:r>
    </w:p>
    <w:p w:rsidR="006D2F9B" w:rsidRPr="006D2F9B" w:rsidRDefault="006D2F9B" w:rsidP="006D2F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144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F9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6D2F9B">
        <w:rPr>
          <w:rFonts w:ascii="Times New Roman" w:hAnsi="Times New Roman" w:cs="Times New Roman"/>
          <w:sz w:val="28"/>
          <w:szCs w:val="28"/>
        </w:rPr>
        <w:t xml:space="preserve"> que faz tempestivamente, exibindo, desde logo, o comprovante do pagamento do preparo (documento 1), e duplamente fundamentado no art. 105, III, “a” e “c” da Constituição Federal de 1988 c/c art. 1.029 e seguintes do Código de Processo Civil, pelos fatos e razões a seguir expostos:</w:t>
      </w:r>
      <w:r w:rsidR="00D17144" w:rsidRPr="006D2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3FF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Para melhor exposição desta matéria, vejamos o</w:t>
      </w:r>
    </w:p>
    <w:p w:rsidR="006D2F9B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 xml:space="preserve">I – </w:t>
      </w:r>
      <w:r w:rsidR="006D2F9B" w:rsidRPr="006D2F9B">
        <w:rPr>
          <w:rFonts w:ascii="Times New Roman" w:hAnsi="Times New Roman" w:cs="Times New Roman"/>
          <w:sz w:val="28"/>
          <w:szCs w:val="28"/>
        </w:rPr>
        <w:t>OBJETO DESTE RECURSO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É obter a reforma da decisão do Egrégio Tribunal (...) que: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 xml:space="preserve">a) deu ao Código Civil, </w:t>
      </w:r>
      <w:proofErr w:type="spellStart"/>
      <w:r w:rsidRPr="006D2F9B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6D2F9B">
        <w:rPr>
          <w:rFonts w:ascii="Times New Roman" w:hAnsi="Times New Roman" w:cs="Times New Roman"/>
          <w:sz w:val="28"/>
          <w:szCs w:val="28"/>
        </w:rPr>
        <w:t>. 1.245, 1.334, § 2°, e 1.336, interpretação diversa de acórdão do próprio Superior Tribunal de Justiça, analiticamente transcrito e comparado na parte útil, citando-se o repositório oficial de jurisprudência, cuja cópia é anexada ao presente recurso para melhor compreensão (documento 2);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 xml:space="preserve">b) contrariou texto do Código Civil, </w:t>
      </w:r>
      <w:proofErr w:type="spellStart"/>
      <w:r w:rsidRPr="006D2F9B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6D2F9B">
        <w:rPr>
          <w:rFonts w:ascii="Times New Roman" w:hAnsi="Times New Roman" w:cs="Times New Roman"/>
          <w:sz w:val="28"/>
          <w:szCs w:val="28"/>
        </w:rPr>
        <w:t>. 1.334, § 2°, e 1.336, cujos dispositivos seguem abaixo devidamente particularizados e individualizados: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>“Art. 1.336.</w:t>
      </w:r>
      <w:proofErr w:type="gramStart"/>
      <w:r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sz w:val="28"/>
          <w:szCs w:val="28"/>
        </w:rPr>
        <w:t>São deveres  do condômino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 xml:space="preserve">I – </w:t>
      </w:r>
      <w:r w:rsidR="006D2F9B" w:rsidRPr="006D2F9B">
        <w:rPr>
          <w:rFonts w:ascii="Times New Roman" w:hAnsi="Times New Roman" w:cs="Times New Roman"/>
          <w:sz w:val="28"/>
          <w:szCs w:val="28"/>
        </w:rPr>
        <w:t>CONTRIBUIR PARA AS DESPESAS DO CONDOMÍNIO NA PROPORÇÃO DE SUAS FRAÇÕES IDEAIS;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Art. 1.334. Além das cláusulas referidas no art. 1.332 e das que os interessados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houverem por  bem estipular,  a convenção determinará: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I – a quota proporcional e o modo de pagamento das contribuições dos condôminos para atender às despesas ordinárias e extraordinárias do condomínio;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...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§ 2º São equiparados aos proprietários, para os fins deste artigo, salvo disposição em contrário, os promitentes compradores e os cessionários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de direitos relativos às  unidades autônomas.”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A reforma que ora se requer, como se depreende, está duplamente fundamentada na Constituição Federal: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“Art. 105.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Compete ao Superior  Tribunal  de Justiça: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...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III – julgar, em recurso especial, as causas decididas em única ou última instância,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pelos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Tribunais Regionais Federais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ou pelos tribunais dos Estados, do Distrito Federal e Territórios, quando a decisão   recorrida: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lastRenderedPageBreak/>
        <w:t>a) contrariar tratado ou lei federal, ou negar-lhes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vigência;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...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c)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der  a  lei  federal  interpretação  divergente  da  que  lhe  haja  atribuído</w:t>
      </w:r>
      <w:r w:rsid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144" w:rsidRPr="006D2F9B">
        <w:rPr>
          <w:rFonts w:ascii="Times New Roman" w:hAnsi="Times New Roman" w:cs="Times New Roman"/>
          <w:i/>
          <w:sz w:val="28"/>
          <w:szCs w:val="28"/>
        </w:rPr>
        <w:t>n</w:t>
      </w:r>
      <w:r w:rsidRPr="006D2F9B">
        <w:rPr>
          <w:rFonts w:ascii="Times New Roman" w:hAnsi="Times New Roman" w:cs="Times New Roman"/>
          <w:i/>
          <w:sz w:val="28"/>
          <w:szCs w:val="28"/>
        </w:rPr>
        <w:t>outro tribunal.”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Isto posto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, vejamos a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 xml:space="preserve">– </w:t>
      </w:r>
      <w:r w:rsidR="006D2F9B" w:rsidRPr="006D2F9B">
        <w:rPr>
          <w:rFonts w:ascii="Times New Roman" w:hAnsi="Times New Roman" w:cs="Times New Roman"/>
          <w:sz w:val="28"/>
          <w:szCs w:val="28"/>
        </w:rPr>
        <w:t>EXPOSIÇÃO DOS FATOS (CPC, ART. 1.029,</w:t>
      </w:r>
      <w:r w:rsidR="006D2F9B">
        <w:rPr>
          <w:rFonts w:ascii="Times New Roman" w:hAnsi="Times New Roman" w:cs="Times New Roman"/>
          <w:sz w:val="28"/>
          <w:szCs w:val="28"/>
        </w:rPr>
        <w:t xml:space="preserve"> </w:t>
      </w:r>
      <w:r w:rsidR="006D2F9B" w:rsidRPr="006D2F9B">
        <w:rPr>
          <w:rFonts w:ascii="Times New Roman" w:hAnsi="Times New Roman" w:cs="Times New Roman"/>
          <w:sz w:val="28"/>
          <w:szCs w:val="28"/>
        </w:rPr>
        <w:t>I)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No dia (...), por intermédio de instrumento particular de venda e compra com financiamento e pacto adjeto de hipoteca sob n. (...), os recorrentes adquiriram o apartamento (...).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Todavia, no dia (...) (documento 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da contestação), cederam todos os direitos e obrigações a (...), que desde então tem posse e reside no imóvel.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Outrossim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, resta importantíssimo observar que a nova titularidade e a POSSE da unidade condominial sempre foi de conhecimento do recorrido, o que se afirma e se prova pelos documentos trazidos à colação pelo próprio Condomínio no bojo dos autos.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Mesmo assim os recorrentes foram acionados.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Nada obstante as percucientes razões apresentadas durante o processo, sem contar os inúmeros acórdãos reconhecendo a ilegitimidade de parte dos promitentes-vendedores nessas circunstâncias, a ação foi julgada parcialmente procedente, admitida a legitimidade de parte dos recorrentes.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Vejamos, então, a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 xml:space="preserve">EXPOSIÇÃO DO DIREITO (CPC, ART. 1.029, I) E DAS RAZÕES DO PEDIDO DE REFORMA DA DECISÃO RECORRIDA (CPC, ART. </w:t>
      </w:r>
      <w:proofErr w:type="gramStart"/>
      <w:r w:rsidRPr="006D2F9B">
        <w:rPr>
          <w:rFonts w:ascii="Times New Roman" w:hAnsi="Times New Roman" w:cs="Times New Roman"/>
          <w:sz w:val="28"/>
          <w:szCs w:val="28"/>
        </w:rPr>
        <w:t>1.029,</w:t>
      </w:r>
      <w:proofErr w:type="gramEnd"/>
      <w:r w:rsidRPr="006D2F9B">
        <w:rPr>
          <w:rFonts w:ascii="Times New Roman" w:hAnsi="Times New Roman" w:cs="Times New Roman"/>
          <w:sz w:val="28"/>
          <w:szCs w:val="28"/>
        </w:rPr>
        <w:t>III)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Interpretação do Código Civil,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. 1.245, 1.334, § 2°, e 1.336, divergente da atribuída por outro Tribunal</w:t>
      </w:r>
      <w:bookmarkStart w:id="1" w:name="_bookmark198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(analiticamente </w:t>
      </w:r>
      <w:r w:rsidR="008E03FF" w:rsidRPr="006D2F9B">
        <w:rPr>
          <w:rFonts w:ascii="Times New Roman" w:hAnsi="Times New Roman" w:cs="Times New Roman"/>
          <w:sz w:val="28"/>
          <w:szCs w:val="28"/>
        </w:rPr>
        <w:lastRenderedPageBreak/>
        <w:t>demonstrada e comprovada por citação de repositório oficial de jurisprudência)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Em verdade, ao decidir que: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 xml:space="preserve">“O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vínculodo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condomínio-réucom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o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condômino-autordecorre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da circunstância de, repita-se, ser o titular do direito real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de  propriedade sobre a coisa...”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E ainda que: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“O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imóvel  de  propriedade  do  réu  a  respeito  do  qual  as  despesas são</w:t>
      </w:r>
      <w:r w:rsidR="00D17144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 xml:space="preserve">cobradas têm localização, tamanho e qualidade, absolutamente consentâneas com os valores de despesas  cobradas,  despesas  essas que autorizam cobrança por decorrerem de obrigação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propter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rem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(art. 1.336, I, do Código  Civil);”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Acrescentando que: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“Como proprietário que é (o recorrente), continua responsável por todos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os ônus do seu imóvel, até a  efetiva transferência  dele, 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quese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opera com o registro do título aquisitivo junto à matrícula do  imóvel.”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Além de manifesta contrariedade ao disposto nos artigos. 1.334, § 2º, e 1.336, I, do Código Civil, a verdade é que a intelecção do mesmo pela </w:t>
      </w:r>
      <w:proofErr w:type="spellStart"/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r.</w:t>
      </w:r>
      <w:proofErr w:type="spellEnd"/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decisão colegiada dissente de julgados proferidos por outras Cortes de Justiça em hipóteses análogas.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Com efeito, abaixo 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encontram-se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demonstradas analiticamente as semelhanças, bem como são transcritos os trechos do acórdão divergente e paradigma, identificado por citação do número e da página do repositório oficial onde foi publicado, também anexado ao presente recurso através de cópia, para melhor compreensão (documento 2).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A transcrição da ementa, de caráter meramente propedêutico, serve apenas ao reforço, sistematização e entendimento do dissídio.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Decisão do Superior Tribunal </w:t>
      </w:r>
      <w:proofErr w:type="spellStart"/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deJustiça</w:t>
      </w:r>
      <w:proofErr w:type="spellEnd"/>
      <w:proofErr w:type="gramEnd"/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Repositório Oficial de Jurisprudência nos termos do art. 255, § 1º,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do RISTJ e art. 1º, V, da Instrução Normativa nº 1, de 11.02.2008, que dispõe sobre o registro dos repositórios autorizados e credenciados  da jurisprudência do Superior Tribunal de Justiça, em mídia impressa  e eletrônica, e em páginas em portais da Rede Mundial de Computadores.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“Compromisso de compra e venda – Condomínio – Despesas condominiais – promitente vendedor que não responde por tais encargos após a alienação do imóvel, ainda que o contrato não tenha sido registrado” (Recurso Especial n. 76.275-SP – Quarta Turma – Julgamento: 18.12.1997 – Relator: Ministro Sálvio de Figueiredo Teixeira – DJU 23.03.1998).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Extremamente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nítido o paralelismo  entre a  situação  enfocada   na</w:t>
      </w:r>
      <w:r w:rsidR="00D17144" w:rsidRPr="006D2F9B"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decisão recorrida e a hipótese versada no aresto paradigma, cujo relatório está assim redigido: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 xml:space="preserve">“Ajuizou o recorrente ação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decobrança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detaxas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condominiais, sustentando que a recorrida, proprietária do apartamento n.241 </w:t>
      </w:r>
      <w:proofErr w:type="spellStart"/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>doEdifício</w:t>
      </w:r>
      <w:proofErr w:type="spellEnd"/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Tanhauser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>, situado na Capital paulista, deixou de pagá-las nos vencimentos  e se recusou a adimplir a obrigação  amigavelmente.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O Juiz extinguiu o processo por ilegitimidade passiva “ad causam”, uma vez que a unidade habitacional teria sido alienada, por promessa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compra-e-venda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, a terceiro. Assim, não teria a anterior proprietária que responder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pelos  encargos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condominiais.”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Em ambas as decisões, portanto, se cuida de saber se há ou não ilegitimidade passiva do proprietário, que consta do registro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imobiliário, mas que cedeu seus direitos através de compromisso de compra e venda para terceiro, que se encontra na POSSE do imóvel, </w:t>
      </w:r>
      <w:r w:rsidR="008E03FF" w:rsidRPr="006D2F9B">
        <w:rPr>
          <w:rFonts w:ascii="Times New Roman" w:hAnsi="Times New Roman" w:cs="Times New Roman"/>
          <w:sz w:val="28"/>
          <w:szCs w:val="28"/>
        </w:rPr>
        <w:lastRenderedPageBreak/>
        <w:t>usufruindo dos serviços comuns do condomínio, sendo de destaque  no corpo v.</w:t>
      </w:r>
      <w:r w:rsidR="00D17144" w:rsidRPr="006D2F9B"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acórdão: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 xml:space="preserve">“No mais, discute-se nos presentes autos se o promitente-vendedor de unidade imobiliária em condomínio, e efetivo proprietário, 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>podem ser responsabilizados</w:t>
      </w:r>
      <w:r w:rsidRPr="006D2F9B">
        <w:rPr>
          <w:rFonts w:ascii="Times New Roman" w:hAnsi="Times New Roman" w:cs="Times New Roman"/>
          <w:i/>
          <w:sz w:val="28"/>
          <w:szCs w:val="28"/>
        </w:rPr>
        <w:t xml:space="preserve"> pelo pagamento das taxas de condomínio ou se a obrigação passa ao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promissário-comprador.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Embora pelo Código Civil a propriedade se transfira pela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inscrição do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título apto a transferir o bem no registro de imóveis, não é de se desconsiderar que pelo contrato de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promessa de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compra-e-venda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>, regulado no Brasil pela primeira vez em 1937, pelo Dec.-lei  58,  os direitos de propriedade passam ao promissário-comprador, que inclusive já pagou todo o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preço.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Assim, se o proprietário alienou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o bem por meio de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 xml:space="preserve">promessa de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compra-e-venda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em caráter irrevogável e irretratável, como ocorreu no caso em exame, efetivamente não é de se lhe exigir o pagamento dos encargos condominiais, uma vez que havia se desligado do condomínio- recorrente, já que o contrato é anterior ao período cobrado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>....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”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Verifica-se, portanto, que a </w:t>
      </w:r>
      <w:proofErr w:type="spellStart"/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r.</w:t>
      </w:r>
      <w:proofErr w:type="spellEnd"/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decisão recorrida é completamente oposta e visceralmente divergente d</w:t>
      </w:r>
      <w:r w:rsidR="00D17144" w:rsidRPr="006D2F9B">
        <w:rPr>
          <w:rFonts w:ascii="Times New Roman" w:hAnsi="Times New Roman" w:cs="Times New Roman"/>
          <w:sz w:val="28"/>
          <w:szCs w:val="28"/>
        </w:rPr>
        <w:t xml:space="preserve">esta, do E. Superior Tribunal </w:t>
      </w:r>
      <w:r w:rsidR="008E03FF" w:rsidRPr="006D2F9B">
        <w:rPr>
          <w:rFonts w:ascii="Times New Roman" w:hAnsi="Times New Roman" w:cs="Times New Roman"/>
          <w:sz w:val="28"/>
          <w:szCs w:val="28"/>
        </w:rPr>
        <w:t>de</w:t>
      </w:r>
      <w:r w:rsidR="00D17144" w:rsidRPr="006D2F9B"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Justiça, aqui colocada como paradigma entre tantas outras.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De fato, ao negar o reconhecimento da ilegitimidade de parte dos recorrentes, promitentes vendedores, que transmitiram os direitos e, principalmente, a posse do imóvel a terceiro, de que tinha pleno conhecimento o condomínio recorrido, o acórdão guerreado comete, ademais, grave injustiça, mormente que prestigia o locupletamento indevido daquele que verdadeiramente utilizou o imóvel.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Aliás, o conceito de obrigação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propter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rem</w:t>
      </w:r>
      <w:proofErr w:type="spellEnd"/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, conquanto tradicionalmente originária de direito real, em que se diz incrustad</w:t>
      </w:r>
      <w:bookmarkStart w:id="2" w:name="_bookmark199"/>
      <w:bookmarkEnd w:id="2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exsurge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, por igual, de especial relação que mantenha seu sujeito passivo com a coisa, por via de posse.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Nesse sentido, é a lição sempre clara de Silvio Rodrigues, ao apontar, entre seus característicos básicos, prender o titular do direito, seja ele quem for, de tal sorte que: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O devedor está atado ao vínculo obrigatório não por força de sua vontade, mas em decorrência de sua peculiar situação relativamente a um bem, do qual é proprietário ou possuidor</w:t>
      </w:r>
      <w:bookmarkStart w:id="3" w:name="_bookmark200"/>
      <w:bookmarkEnd w:id="3"/>
      <w:r w:rsidR="008E03FF" w:rsidRPr="006D2F9B">
        <w:rPr>
          <w:rFonts w:ascii="Times New Roman" w:hAnsi="Times New Roman" w:cs="Times New Roman"/>
          <w:sz w:val="28"/>
          <w:szCs w:val="28"/>
        </w:rPr>
        <w:t>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Demais disso, da leitura do acórdão paradigma verifica-se transcrição de decisão da Segunda Seção deste Egrégio Tribunal Superior, no Recurso Especial n. 74.495/RJ, da lavra do Ministro Eduardo Ribeiro, segundo o qual: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Não elide a responsabilidade do promitente comprador a circunstância de o contrato não haver sido 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registrado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Justifica, pertinenteme</w:t>
      </w:r>
      <w:r>
        <w:rPr>
          <w:rFonts w:ascii="Times New Roman" w:hAnsi="Times New Roman" w:cs="Times New Roman"/>
          <w:sz w:val="28"/>
          <w:szCs w:val="28"/>
        </w:rPr>
        <w:t>n</w:t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te, que o art. 1.334 do Código Civil, quando dispõe acerca da convenção de condomínio, expressamente prevê sua elaboração tanto pelos proprietários, quanto pelos promitentes- compradores, 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cessionários ou promitente cessionários dos direitos pertinentes à aquisição de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unidadesautônomas</w:t>
      </w:r>
      <w:proofErr w:type="spellEnd"/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Outrossim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, esta é a orientação mais moderna, que emana da evolução dos próprios institutos jurídicos, como asseverou o preclaro  e culto Ministro Sálvio de Figueiredo Teixeira no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acórdãoparadigma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 xml:space="preserve">“No mais, é de salientar-se ser de alta relevância o debate, quer pela repercussão no mundo dos negócios de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compra-e-venda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de imóveis, que atualmente se fazem pelos contratos de compromisso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de</w:t>
      </w:r>
      <w:r w:rsidR="00D17144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compra-e-venda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ou, em outras palavras, pelas promessas de compra-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e-venda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>, quer pela extraordinária evolução pela qual o instituto tem passado nos últimos tempos, sobretudo em termos de execução coativa, ante a efetividade do processo civil contemporâneo.”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>CONTRARIEDADE À LEI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sz w:val="28"/>
          <w:szCs w:val="28"/>
        </w:rPr>
        <w:t>FEDERAL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A Lei Federal contrariada – Lei 10.406/2002 – Código Civil, estabelece, de forma cristalina, que: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lastRenderedPageBreak/>
        <w:t>“Art. 1.334. Além das cláusulas referidas no art. 1.332 e das que os interessados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houverem por  bem estipular,  a convenção determinará: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I – a quota proporcional e o modo de pagamento das contribuições dos condôminos para atender às despesas ordinárias e extraordinárias do condomínio;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...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§ 2º São equiparados aos proprietários, para os fins deste artigo, salvo disposição em contrário, os promitentes compradores e os cessionários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de direitos relativos às  unidades autônomas.”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Entretanto, a decisão recorrida, em completa dissonância com o texto da legislação Federal acima citado, asseverou que: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O vínculo do condomínio-réu com o condômino-autor decorre da circunstância de, repita-se, ser o titular do direito real de propriedade sobre a coisa...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O imóvel de propriedade do réu a respeito do qual as despesas são cobradas têm localização, tamanho e qualidade, absolutamente consentâneas com os valores de despesas cobradas, despesas essas que autorizam cobrança por decorrerem de obrigação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propter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rem</w:t>
      </w:r>
      <w:proofErr w:type="spellEnd"/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;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venia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, em face do texto legal, há evidente e grave equívoco.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O texto expresso do art. 1.336, I, do Código Civil determina que a despesa de condomínio 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é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de responsabilidade do condômino.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Ora, ora, ora...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Não há como, da expressa redação do dispositivo em tela, inferir que os recorrentes, promitentes vendedores da unidade autônoma, que transferiram a posse, com o conhecimento do recorrido, sejam condôminos,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e,    portanto,    responsáveis    pelas    despesas    de</w:t>
      </w:r>
      <w:r w:rsidR="00D17144" w:rsidRPr="006D2F9B"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condomínio.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Aliás, as disposições dos artigos citados reconhecem os promissários compradores, cessionários e promissários cessionários dos direitos atinentes à unidade imobiliária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como condôminos.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Nem poderia ser diferente.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De forma brilhante, o Ministro Sálvio de Figueiredo Teixeira, no acórdão paradigma, identificou a evolução do direito, bem como as implicações de divergente orientação, como a guerreada por este recurso.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Com efeito, entendimento contrário geraria insegurança nos negócios jurídicos, celebrados por particulares e construtoras através de instrumentos particulares de compra e venda sem registro – que são a maioria – se, mesmo sendo esse negócio do conhecimento do corpo condominial, o alienante continuasse responsável pelas despesas comuns.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Mas não é só. Percebe-se que a decisão guerreada, caso prevaleça, acabará por gerar enriquecimento ilícito daquele que usufrui dos serviços prestados pelo condomínio, sem contar o consumo de energia e água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comuns.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Acrescente-se a isso que a manutenção do acórdão recorrido duplicará as demandas, contribuindo para aumentar a pletora de feitos que 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assoberba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o Poder Judiciário, o que certamente independe da vontade de Vossas Excelências.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Explica-se: Sendo compelido ao pagamento,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o  promitente comprador certamente agiria regressivamente em face do adquirente, movimentando, novamente, o aparelho judiciário.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Outrossim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, convém notar que não corresponde à verdade, a alusão de existência de jurisprudência, mesmo no Tribunal a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quo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, de que as despesas condominiais devem ser carreadas àquele que consta do Registro Imobiliário.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Aliás, as decisões nesse sentido são meros precedentes.</w:t>
      </w:r>
    </w:p>
    <w:p w:rsidR="00D17144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 xml:space="preserve">A jurisprudência da própria Corte de origem aponta para sentido absolutamente contrário e acorde com </w:t>
      </w:r>
      <w:r w:rsidR="00D17144" w:rsidRPr="006D2F9B">
        <w:rPr>
          <w:rFonts w:ascii="Times New Roman" w:hAnsi="Times New Roman" w:cs="Times New Roman"/>
          <w:sz w:val="28"/>
          <w:szCs w:val="28"/>
        </w:rPr>
        <w:t>a decisão paradigma desta Corte: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lastRenderedPageBreak/>
        <w:t>Tribunal de Justiça de São Paulo. “Apelação Cobrança Contribuições condominiais Compromisso de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compra e venda  Imissão do  adquirente  na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posse do imóvel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de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conhecimento do condomínio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 xml:space="preserve">Ilegitimidade passiva dos vendedores. ‘Para a correta definição do responsável pelos encargos condominiais, em caso de contrato de promessa de compra e venda, deve-se aferir, pontualmente, se houve  efetiva imissão na  posse por parte promissário-comprador (ainda que em caráter precário) e se o condomínio teve ou não o pleno conhecimento desta’ (STJ,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REsp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nº 1.079.177).Apelação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providaemparte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>” (Relator: Lino Machado– Comarca: São Carlos – Órgão julgador: 30ª Câmara de Direito Privado – Data do julgamento: 29.04.2015 – Data de registro:  30.04.2015).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Tribunal de Justiça de São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Paulo.  “Cobrança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dedespesas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condominiais. Reconhecida ilegitimidade passiva dos  réus.  Elementos dos autos que são capazes de demonstrar que a unidade condominial foi transferida a terceira pessoa através de contrato de compromisso de compra e venda e que o Condomínio possuía ciência inequívoca de que a unidade,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noperíodo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doinadimplemento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, não era  ocupada pelos apelados.Recurso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improvido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” (Apelação 4011380-55.2013.8.26.0564 – Relator: Caio Marcelo Mendes de Oliveira – Comarca: São Bernardo do Campo – Órgão julgador: 32ª Câmara de Direito Privado – Data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dojulgamento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>:  16.04.2015 – Data de registro: 17.04.2015).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Outrossim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, é distorcida a interpretação do acórdão do E. Superior Tribunal de Justiça, da lavra do Ministro Sálvio de Figueiredo Teixeira, citado no acórdão recorrido, mormente ante ao acórdão paradigma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que dá supedâneo ao presente recurso, do mesmo Ministro, em sentido absolutamente contrário, o qual se pede vênia para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repetir: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“Compromisso de compra e venda – Condomínio – Despesas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condominiais – promitente vendedor que não responde por tais encargos após a alienação do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imóvel, ainda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que o contrato não tenha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sido registrado” (Recurso Especial nº 76.275-SP– Quarta Turma –  Julgamento:  18.12.1997  – Relator:  Ministro Sálvio  de  Figueiredo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Teixeira</w:t>
      </w:r>
      <w:r w:rsidR="006D2F9B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>– DJU 23.03.1998).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Não de forma diferente: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 xml:space="preserve">“Agravo 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>regimental.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Direito Civil. Condomínio – taxas condominiais. Legitimidade passiva  promitente  comprador –  detentor da posse do</w:t>
      </w:r>
      <w:r w:rsidR="00D17144"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i/>
          <w:sz w:val="28"/>
          <w:szCs w:val="28"/>
        </w:rPr>
        <w:t xml:space="preserve">imóvel. Súmulas 83 do STJ. Recurso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improvido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. I. Na linha da orientação adotada por este Tribunal, a responsabilidade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pelasdespesas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de condomínio ante a existência de promessa de compra e  venda,  pode recair tanto sobre o promitente comprador quanto sobre o promissário vendedor, dependendo das circunstâncias de cada caso concreto.  Sob esse prisma, pois, a questão relacionada à posse do imóvel, e não só a propriedade, é relevante para a aferição da responsabilidade por tais encargos. II. Agravo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improvido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>” (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AgRg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no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Ag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660.515/RJ – Rel. Ministro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SidneiBeneti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TerceiraTurma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– julgado em26.08.2008 –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DJe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23.09.2008).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Outra distorção gritante no acórdão recorrido, que dimana de falha lógica, diz respeito ao fato dos recorrentes não terem se insurgido contra as despesas, que foram enviadas à unidade. Pergunta-se: como conhecer esses balancetes se a posse e os direitos sobre o imóvel já haviam sido transferidos?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Por todo o exposto, à luz da paz social – objetivo do direito – e da Lei, não pode prevalecer o acórdão recorrido.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 xml:space="preserve">IV – </w:t>
      </w:r>
      <w:r w:rsidR="006D2F9B" w:rsidRPr="006D2F9B">
        <w:rPr>
          <w:rFonts w:ascii="Times New Roman" w:hAnsi="Times New Roman" w:cs="Times New Roman"/>
          <w:sz w:val="28"/>
          <w:szCs w:val="28"/>
        </w:rPr>
        <w:t>CABIMENTO DESTE RECURSO (CPC, ART. 1.029, II)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Verifica-se tratar-se de questão decidida em última instância pelo (...), que julgou recurso de apelação contra decisão em ação sumária de cobrança de débitos condominiais, não havendo mais qualquer outro recurso senão o que ora é interposto.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Acrescente-se a isso que não há falar-se em reexame de prova, mormente por tratar-se de questão exclusivamente de direito.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F9B">
        <w:rPr>
          <w:rFonts w:ascii="Times New Roman" w:hAnsi="Times New Roman" w:cs="Times New Roman"/>
          <w:b/>
          <w:sz w:val="28"/>
          <w:szCs w:val="28"/>
        </w:rPr>
        <w:t>Pela contrariedade a lei</w:t>
      </w:r>
      <w:r w:rsidR="006D2F9B" w:rsidRPr="006D2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b/>
          <w:sz w:val="28"/>
          <w:szCs w:val="28"/>
        </w:rPr>
        <w:t>federal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venia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, a v. decisão recorrida contrariou o Código Civil, fundamentalmente os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1.334, § 2º, e 1.336, I, apontados nesta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lastRenderedPageBreak/>
        <w:t>irresignação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e, acorde com o disposto no art. 105, III, “a”, da Constituição Federal de 1988: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“Art. 105.</w:t>
      </w:r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>Compete ao Superior  Tribunal  de Justiça: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...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 xml:space="preserve">III – julgar, em recurso especial, as causas decididas em única ou última instância, </w:t>
      </w:r>
      <w:proofErr w:type="spellStart"/>
      <w:proofErr w:type="gramStart"/>
      <w:r w:rsidRPr="006D2F9B">
        <w:rPr>
          <w:rFonts w:ascii="Times New Roman" w:hAnsi="Times New Roman" w:cs="Times New Roman"/>
          <w:i/>
          <w:sz w:val="28"/>
          <w:szCs w:val="28"/>
        </w:rPr>
        <w:t>pelosTribunais</w:t>
      </w:r>
      <w:proofErr w:type="spellEnd"/>
      <w:proofErr w:type="gram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Regionais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Federaisou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2F9B">
        <w:rPr>
          <w:rFonts w:ascii="Times New Roman" w:hAnsi="Times New Roman" w:cs="Times New Roman"/>
          <w:i/>
          <w:sz w:val="28"/>
          <w:szCs w:val="28"/>
        </w:rPr>
        <w:t>pelostribunais</w:t>
      </w:r>
      <w:proofErr w:type="spellEnd"/>
      <w:r w:rsidRPr="006D2F9B">
        <w:rPr>
          <w:rFonts w:ascii="Times New Roman" w:hAnsi="Times New Roman" w:cs="Times New Roman"/>
          <w:i/>
          <w:sz w:val="28"/>
          <w:szCs w:val="28"/>
        </w:rPr>
        <w:t xml:space="preserve"> dos Estados, do Distrito Federal  e Territórios, quando a decisão recorrida:”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9B">
        <w:rPr>
          <w:rFonts w:ascii="Times New Roman" w:hAnsi="Times New Roman" w:cs="Times New Roman"/>
          <w:i/>
          <w:sz w:val="28"/>
          <w:szCs w:val="28"/>
        </w:rPr>
        <w:t>a) contrariar tratado ou lei federal, ou negar-lhes vigência;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Assim, a Carta Maior, ao tratar das hipóteses de cabimento do recurso especial, foi além da negativa de vigência à lei, mas referiu-se a contrariar tratado ou lei federal.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Essa expressão é muito mais abrangente que negar vigência. Contrariar, supõe toda e qualquer forma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de ofensa ao    texto  legal,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quer deixando de aplicá-lo às hipóteses que a ele devem subsumir-se,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F9B">
        <w:rPr>
          <w:rFonts w:ascii="Times New Roman" w:hAnsi="Times New Roman" w:cs="Times New Roman"/>
          <w:sz w:val="28"/>
          <w:szCs w:val="28"/>
        </w:rPr>
        <w:t>quer</w:t>
      </w:r>
      <w:proofErr w:type="gramEnd"/>
      <w:r w:rsidRPr="006D2F9B">
        <w:rPr>
          <w:rFonts w:ascii="Times New Roman" w:hAnsi="Times New Roman" w:cs="Times New Roman"/>
          <w:sz w:val="28"/>
          <w:szCs w:val="28"/>
        </w:rPr>
        <w:t xml:space="preserve"> aplicando-o de forma errônea ou ainda interpretando-o de modo não adequado e diferente da interpretação correta, no sentir do órgão responsável pelo controle ao respeito e pela uniformização do direito federal, que é o Superior Tribunal de Justiça</w:t>
      </w:r>
      <w:bookmarkStart w:id="4" w:name="_bookmark201"/>
      <w:bookmarkEnd w:id="4"/>
      <w:r w:rsidRPr="006D2F9B">
        <w:rPr>
          <w:rFonts w:ascii="Times New Roman" w:hAnsi="Times New Roman" w:cs="Times New Roman"/>
          <w:sz w:val="28"/>
          <w:szCs w:val="28"/>
        </w:rPr>
        <w:t>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Corroborando com essa assertiva, ensina o insigne professor Nelson Luiz Pinto que a Súmula 400 do STF só dizia respeito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à matéria infraconstitucional, uma vez que o dispositivo constitucional anterior (letra “a” do art. 119, III), em sua primeira parte, ao referir-se à matéria constitucional, dizia: “Contrariar dispositivo dessa Constituição”</w:t>
      </w:r>
      <w:bookmarkStart w:id="5" w:name="_bookmark202"/>
      <w:bookmarkEnd w:id="5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, inadmitindo-se, por via de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consequência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,  interpretação razoável de norma constitucional.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Destarte, esse é o entendimento que vigora em relação ao Recurso Especial com supedâneo na letra “a” do art. 105, III, da Constituição Federal de 1988.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Não há como admitir-se, hoje, à luz do mandamento constitucional, que a interpretação razoável de lei federal seja motivo </w:t>
      </w:r>
      <w:r w:rsidR="008E03FF" w:rsidRPr="006D2F9B">
        <w:rPr>
          <w:rFonts w:ascii="Times New Roman" w:hAnsi="Times New Roman" w:cs="Times New Roman"/>
          <w:sz w:val="28"/>
          <w:szCs w:val="28"/>
        </w:rPr>
        <w:lastRenderedPageBreak/>
        <w:t>impeditivo do conhecimento do recurso especial, restando inaplicável o enunciado da vetusta súmula 400 do STF.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Com efeito, sendo o Superior Tribunal de Justiça incumbido constitucionalmente da missão de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zelarpela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correta e uniforme aplicação do direito federal, não pode contentar-se com interpretações simplesmente razoáveis de outros Tribunais.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Ademais, a interpretação perpetrada é questão de mérito do recurso especial.</w:t>
      </w:r>
    </w:p>
    <w:p w:rsidR="008E03FF" w:rsidRPr="006D2F9B" w:rsidRDefault="006D2F9B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Ora, no caso sub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oculis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, o recurso gira exclusivamente em torno da questão da interpretação dos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. 1.334, § 2º, e 1.336, I, do Código Civil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que,  no  entendimento  dos  recorrentes,  foi  contrariado     pelo</w:t>
      </w:r>
      <w:r w:rsidR="00D17144" w:rsidRPr="006D2F9B"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Egrégio Tribunal a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quo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.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Por dissídio jurisprudencial Não 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só.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Como visto, na decisão recorrida, de acordo com o mandamento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insculpido no art. 105, III, “c” da Constituição Federal, além da flagrante contrariedade a Lei Federal, observa-se inquestionável dissídio jurisprudencial devidamente provado mediante citação do repositório oficial, com número das páginas, – documento 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) além de percuciente demonstração analítica das semelhanças com a transcrição dos acórdãos na parte útil, acorde com o disposto no art. 1.029, § 1º, do Código de Processo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Civil.</w:t>
      </w:r>
    </w:p>
    <w:p w:rsidR="008E03FF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Ademais, há remansosa jurisprudência do próprio Colendo Superior Tribunal de Justiça, visceralmente contrária à decisão recorrida e, por via de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consequência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, acorde com o pedido deste recurso nobre.</w:t>
      </w:r>
    </w:p>
    <w:p w:rsidR="00032357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>PREQUESTIONAMENTO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Resta inequívoco que a Recorrente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prequestionou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a questão da contrariedade do Código Civil,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. 1.334, § 2º, e 1.336 no item “19” da inicial e “16” da contestação</w:t>
      </w:r>
      <w:bookmarkStart w:id="6" w:name="_bookmark203"/>
      <w:bookmarkEnd w:id="6"/>
      <w:r w:rsidR="008E03FF" w:rsidRPr="006D2F9B">
        <w:rPr>
          <w:rFonts w:ascii="Times New Roman" w:hAnsi="Times New Roman" w:cs="Times New Roman"/>
          <w:sz w:val="28"/>
          <w:szCs w:val="28"/>
        </w:rPr>
        <w:t>.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Com efeito, a decisão atacada, enfrentando a 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questão,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asseverou: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032357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57">
        <w:rPr>
          <w:rFonts w:ascii="Times New Roman" w:hAnsi="Times New Roman" w:cs="Times New Roman"/>
          <w:i/>
          <w:sz w:val="28"/>
          <w:szCs w:val="28"/>
        </w:rPr>
        <w:t>“Como proprietário que é (a recorrente), continua responsável por todos</w:t>
      </w:r>
      <w:proofErr w:type="gramStart"/>
      <w:r w:rsidRPr="0003235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032357">
        <w:rPr>
          <w:rFonts w:ascii="Times New Roman" w:hAnsi="Times New Roman" w:cs="Times New Roman"/>
          <w:i/>
          <w:sz w:val="28"/>
          <w:szCs w:val="28"/>
        </w:rPr>
        <w:t>os ônus do seu imóvel, até a  efetiva transferência  dele,  que  se opera com o registro do título aquisitivo junto à matrícula do  imóvel.”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Referindo-se às despesas e à legitimidade, interpretando os citados dispositivos de lei federal, asseverou o acórdão recorrido que as despesas de condomínio competem àquele que, exclusivamente,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figure na matrícula, vez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que: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 xml:space="preserve">...autorizam cobrança por decorrerem de obrigação </w:t>
      </w:r>
      <w:proofErr w:type="spellStart"/>
      <w:r w:rsidR="00032357">
        <w:rPr>
          <w:rFonts w:ascii="Times New Roman" w:hAnsi="Times New Roman" w:cs="Times New Roman"/>
          <w:sz w:val="28"/>
          <w:szCs w:val="28"/>
        </w:rPr>
        <w:t>propter</w:t>
      </w:r>
      <w:proofErr w:type="spellEnd"/>
      <w:r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2F9B">
        <w:rPr>
          <w:rFonts w:ascii="Times New Roman" w:hAnsi="Times New Roman" w:cs="Times New Roman"/>
          <w:sz w:val="28"/>
          <w:szCs w:val="28"/>
        </w:rPr>
        <w:t>rem</w:t>
      </w:r>
      <w:proofErr w:type="spellEnd"/>
      <w:proofErr w:type="gramEnd"/>
      <w:r w:rsidRPr="006D2F9B">
        <w:rPr>
          <w:rFonts w:ascii="Times New Roman" w:hAnsi="Times New Roman" w:cs="Times New Roman"/>
          <w:sz w:val="28"/>
          <w:szCs w:val="28"/>
        </w:rPr>
        <w:t>.</w:t>
      </w:r>
    </w:p>
    <w:p w:rsidR="008E03FF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2357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032357" w:rsidRDefault="008E03FF" w:rsidP="006D2F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357">
        <w:rPr>
          <w:rFonts w:ascii="Times New Roman" w:hAnsi="Times New Roman" w:cs="Times New Roman"/>
          <w:b/>
          <w:sz w:val="28"/>
          <w:szCs w:val="28"/>
        </w:rPr>
        <w:t>Questão de direito – inexistência de simples reexame de</w:t>
      </w:r>
      <w:r w:rsidR="00032357" w:rsidRPr="00032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357">
        <w:rPr>
          <w:rFonts w:ascii="Times New Roman" w:hAnsi="Times New Roman" w:cs="Times New Roman"/>
          <w:b/>
          <w:sz w:val="28"/>
          <w:szCs w:val="28"/>
        </w:rPr>
        <w:t>provas.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032357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57">
        <w:rPr>
          <w:rFonts w:ascii="Times New Roman" w:hAnsi="Times New Roman" w:cs="Times New Roman"/>
          <w:i/>
          <w:sz w:val="28"/>
          <w:szCs w:val="28"/>
        </w:rPr>
        <w:t>“Não se pode confundir ‘reexame de prova’ com ‘questão de fato’, pois o reexame de prova é uma espécie do gênero questão de fato. Essa constatação leva a conclusão de que os fatos, quando não</w:t>
      </w:r>
      <w:r w:rsidR="00032357" w:rsidRPr="000323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2357">
        <w:rPr>
          <w:rFonts w:ascii="Times New Roman" w:hAnsi="Times New Roman" w:cs="Times New Roman"/>
          <w:i/>
          <w:sz w:val="28"/>
          <w:szCs w:val="28"/>
        </w:rPr>
        <w:t>decorrem do</w:t>
      </w:r>
      <w:r w:rsidR="00032357" w:rsidRPr="000323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2357">
        <w:rPr>
          <w:rFonts w:ascii="Times New Roman" w:hAnsi="Times New Roman" w:cs="Times New Roman"/>
          <w:i/>
          <w:sz w:val="28"/>
          <w:szCs w:val="28"/>
        </w:rPr>
        <w:t>reexame da prova, podem ser analisados pelas Cortes</w:t>
      </w:r>
      <w:proofErr w:type="gramStart"/>
      <w:r w:rsidRPr="00032357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Pr="00032357">
        <w:rPr>
          <w:rFonts w:ascii="Times New Roman" w:hAnsi="Times New Roman" w:cs="Times New Roman"/>
          <w:i/>
          <w:sz w:val="28"/>
          <w:szCs w:val="28"/>
        </w:rPr>
        <w:t>Superiores.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Por exemplo: o nascimento com vida é um fato, cuja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consequência</w:t>
      </w:r>
      <w:proofErr w:type="spellEnd"/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jurídica é a aquisição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personalidade civil. Existem fatos que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constituem o nascimento (p. ex., a expulsão do feto do útero, a saída do corpo da criança fora do corpo da mãe) e a vida (p. ex., a ingestão de ar nos pulmões, a modificação do sangue,  a ossificação de  alguns  pontos  do esqueleto), e ambos requerem provas. Julgar se esses fatos estão provados é uma questão de fato, enquanto julgar se esses fatos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deramorigem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à personalidade civil é uma questão de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direito”.</w:t>
      </w:r>
      <w:bookmarkStart w:id="7" w:name="_bookmark204"/>
      <w:bookmarkEnd w:id="7"/>
      <w:r w:rsidR="00D17144" w:rsidRPr="006D2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Não se trata de, por exemplo, reexaminar a prova, como ocorreria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na verificação de quem é a culpa em acidente de trânsito, analisando boletim de ocorrência, depoimento de testemunhas e laudo, ainda que isso seja fundamental para saber se as regras dos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. 186 e 927 </w:t>
      </w:r>
      <w:r w:rsidR="008E03FF" w:rsidRPr="006D2F9B">
        <w:rPr>
          <w:rFonts w:ascii="Times New Roman" w:hAnsi="Times New Roman" w:cs="Times New Roman"/>
          <w:sz w:val="28"/>
          <w:szCs w:val="28"/>
        </w:rPr>
        <w:lastRenderedPageBreak/>
        <w:t>do Código Civil foram bem aplicadas. Por outro lado, se a culpa resta afirmada diante das provas dos autos e, ainda assim, não se condena o culpado pelo acidente, resta evidente que a qualificação jurídica dos fatos resulta em questão de direito, apta a ser analisada pela Corte Superior.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Logo, o questionamento sobre “o que” ou “como” as coisas ocorreram representa uma “questão de fato”.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Por outro lado, a indagação sobre as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consequências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jurídicas do fato ocorrido é uma “questão de direito”.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Essa constatação leva à conclusão de que a premissa do controle das decisões judiciais, por meio de recurso de estrito direito, é a situação fática tal como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considerada existente pelas instâncias ordinárias, o que não afasta a possibilidade de se qualificar juridicamente de outra forma os fatos já provados: essa é exatamente a função constitucional das Cortes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FF" w:rsidRPr="006D2F9B">
        <w:rPr>
          <w:rFonts w:ascii="Times New Roman" w:hAnsi="Times New Roman" w:cs="Times New Roman"/>
          <w:sz w:val="28"/>
          <w:szCs w:val="28"/>
        </w:rPr>
        <w:t>Superiores.</w:t>
      </w:r>
    </w:p>
    <w:p w:rsidR="008E03FF" w:rsidRPr="00032357" w:rsidRDefault="00032357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57">
        <w:rPr>
          <w:rFonts w:ascii="Times New Roman" w:hAnsi="Times New Roman" w:cs="Times New Roman"/>
          <w:i/>
          <w:sz w:val="28"/>
          <w:szCs w:val="28"/>
        </w:rPr>
        <w:tab/>
      </w:r>
      <w:r w:rsidRPr="00032357">
        <w:rPr>
          <w:rFonts w:ascii="Times New Roman" w:hAnsi="Times New Roman" w:cs="Times New Roman"/>
          <w:i/>
          <w:sz w:val="28"/>
          <w:szCs w:val="28"/>
        </w:rPr>
        <w:tab/>
      </w:r>
      <w:r w:rsidRPr="00032357">
        <w:rPr>
          <w:rFonts w:ascii="Times New Roman" w:hAnsi="Times New Roman" w:cs="Times New Roman"/>
          <w:i/>
          <w:sz w:val="28"/>
          <w:szCs w:val="28"/>
        </w:rPr>
        <w:tab/>
      </w:r>
      <w:r w:rsidR="008E03FF" w:rsidRPr="00032357">
        <w:rPr>
          <w:rFonts w:ascii="Times New Roman" w:hAnsi="Times New Roman" w:cs="Times New Roman"/>
          <w:i/>
          <w:sz w:val="28"/>
          <w:szCs w:val="28"/>
        </w:rPr>
        <w:t>De acordo com José Carlos Barbosa Moreira,</w:t>
      </w:r>
    </w:p>
    <w:p w:rsidR="00D17144" w:rsidRPr="00032357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57">
        <w:rPr>
          <w:rFonts w:ascii="Times New Roman" w:hAnsi="Times New Roman" w:cs="Times New Roman"/>
          <w:i/>
          <w:sz w:val="28"/>
          <w:szCs w:val="28"/>
        </w:rPr>
        <w:t xml:space="preserve">“em geral se considera ‘de direito’ a questão relativa à qualificação jurídica do(s) fato(s), de modo que o Tribunal, embora não lhe seja lícito repelir como inverídica a versão dos acontecimentos aceita pelo juízo inferior, sem dúvida pode qualificá-la como total liberdade, eventualmente de maneira diversa daquela que o fizera o órgão ‘a </w:t>
      </w:r>
      <w:proofErr w:type="spellStart"/>
      <w:r w:rsidRPr="00032357">
        <w:rPr>
          <w:rFonts w:ascii="Times New Roman" w:hAnsi="Times New Roman" w:cs="Times New Roman"/>
          <w:i/>
          <w:sz w:val="28"/>
          <w:szCs w:val="28"/>
        </w:rPr>
        <w:t>quo</w:t>
      </w:r>
      <w:proofErr w:type="spellEnd"/>
      <w:r w:rsidRPr="00032357">
        <w:rPr>
          <w:rFonts w:ascii="Times New Roman" w:hAnsi="Times New Roman" w:cs="Times New Roman"/>
          <w:i/>
          <w:sz w:val="28"/>
          <w:szCs w:val="28"/>
        </w:rPr>
        <w:t xml:space="preserve">’, em ordem a extrair deles </w:t>
      </w:r>
      <w:proofErr w:type="spellStart"/>
      <w:r w:rsidRPr="00032357">
        <w:rPr>
          <w:rFonts w:ascii="Times New Roman" w:hAnsi="Times New Roman" w:cs="Times New Roman"/>
          <w:i/>
          <w:sz w:val="28"/>
          <w:szCs w:val="28"/>
        </w:rPr>
        <w:t>consequências</w:t>
      </w:r>
      <w:proofErr w:type="spellEnd"/>
      <w:r w:rsidRPr="00032357">
        <w:rPr>
          <w:rFonts w:ascii="Times New Roman" w:hAnsi="Times New Roman" w:cs="Times New Roman"/>
          <w:i/>
          <w:sz w:val="28"/>
          <w:szCs w:val="28"/>
        </w:rPr>
        <w:t xml:space="preserve"> jurídicas também diferentes”</w:t>
      </w:r>
      <w:bookmarkStart w:id="8" w:name="_bookmark205"/>
      <w:bookmarkEnd w:id="8"/>
      <w:r w:rsidRPr="00032357">
        <w:rPr>
          <w:rFonts w:ascii="Times New Roman" w:hAnsi="Times New Roman" w:cs="Times New Roman"/>
          <w:i/>
          <w:sz w:val="28"/>
          <w:szCs w:val="28"/>
        </w:rPr>
        <w:t>.</w:t>
      </w:r>
      <w:r w:rsidR="00D17144" w:rsidRPr="000323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Nesse sentido: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032357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57">
        <w:rPr>
          <w:rFonts w:ascii="Times New Roman" w:hAnsi="Times New Roman" w:cs="Times New Roman"/>
          <w:i/>
          <w:sz w:val="28"/>
          <w:szCs w:val="28"/>
        </w:rPr>
        <w:t>Superior Tribunal de Justiça. “EB (</w:t>
      </w:r>
      <w:proofErr w:type="spellStart"/>
      <w:proofErr w:type="gramStart"/>
      <w:r w:rsidRPr="00032357">
        <w:rPr>
          <w:rFonts w:ascii="Times New Roman" w:hAnsi="Times New Roman" w:cs="Times New Roman"/>
          <w:i/>
          <w:sz w:val="28"/>
          <w:szCs w:val="28"/>
        </w:rPr>
        <w:t>REsp</w:t>
      </w:r>
      <w:proofErr w:type="spellEnd"/>
      <w:proofErr w:type="gramEnd"/>
      <w:r w:rsidRPr="00032357">
        <w:rPr>
          <w:rFonts w:ascii="Times New Roman" w:hAnsi="Times New Roman" w:cs="Times New Roman"/>
          <w:i/>
          <w:sz w:val="28"/>
          <w:szCs w:val="28"/>
        </w:rPr>
        <w:t xml:space="preserve">) – Processual civil – Recurso especial – fato – prova do fato – O recurso especial, por sua natureza,analisa o fato. Não há direito sem fato. Não  confundir  a hipótese </w:t>
      </w:r>
      <w:proofErr w:type="spellStart"/>
      <w:r w:rsidRPr="00032357">
        <w:rPr>
          <w:rFonts w:ascii="Times New Roman" w:hAnsi="Times New Roman" w:cs="Times New Roman"/>
          <w:i/>
          <w:sz w:val="28"/>
          <w:szCs w:val="28"/>
        </w:rPr>
        <w:t>deprova</w:t>
      </w:r>
      <w:proofErr w:type="spellEnd"/>
      <w:r w:rsidRPr="00032357">
        <w:rPr>
          <w:rFonts w:ascii="Times New Roman" w:hAnsi="Times New Roman" w:cs="Times New Roman"/>
          <w:i/>
          <w:sz w:val="28"/>
          <w:szCs w:val="28"/>
        </w:rPr>
        <w:t xml:space="preserve"> do fato – no sentido de resolver o conjunto probatório, fazer a respectiva avaliação. A interpretação da Súmula 7 do STJ reclama essa diretriz” (</w:t>
      </w:r>
      <w:proofErr w:type="spellStart"/>
      <w:r w:rsidRPr="00032357">
        <w:rPr>
          <w:rFonts w:ascii="Times New Roman" w:hAnsi="Times New Roman" w:cs="Times New Roman"/>
          <w:i/>
          <w:sz w:val="28"/>
          <w:szCs w:val="28"/>
        </w:rPr>
        <w:t>REsp</w:t>
      </w:r>
      <w:proofErr w:type="spellEnd"/>
      <w:r w:rsidRPr="00032357">
        <w:rPr>
          <w:rFonts w:ascii="Times New Roman" w:hAnsi="Times New Roman" w:cs="Times New Roman"/>
          <w:i/>
          <w:sz w:val="28"/>
          <w:szCs w:val="28"/>
        </w:rPr>
        <w:t xml:space="preserve"> 88.107-SP– 6ª Turma – Rel. Ministro  Vicente  Cernicchiaro – j. 15.10.1996 – DJU 25.08.1997,  p. 39.409).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Aliás, “donde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están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processos de puro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derecho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mi vida judicial apenas tropece com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ellos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. La vida esta formada por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hechos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sediscute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sobre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hechos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; y de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ellos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nasce </w:t>
      </w:r>
      <w:proofErr w:type="spellStart"/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el</w:t>
      </w:r>
      <w:proofErr w:type="spellEnd"/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derecho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: ‘ex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facto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oriuntur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ius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’.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El puro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derecho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, desconectado de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hechos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, no existe. El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derecho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que  se  aplica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hecho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hecho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que se subsume em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derecho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, no fenômenos  recíprocos, sino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mismo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fenômeno”.</w:t>
      </w:r>
      <w:bookmarkStart w:id="9" w:name="_bookmark206"/>
      <w:bookmarkEnd w:id="9"/>
      <w:r w:rsidR="00D17144" w:rsidRPr="006D2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Assim, deduz-se o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>PEDIDO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Pede-se e espera-se que essa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Eg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. Presidência conheça e admita este recurso e remeta os autos ao Superior Tribunal de Justiça para recebimento, processamento e acolhimento, reformada a decisão recorrida, cumpridas as necessárias formalidades legais, como medida de inteira justiça.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Aclarando o pedido de reforma da decisão, requer-se o provimento do presente Recurso Especial e o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consequente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 xml:space="preserve"> reconhecimento da ilegitimidade de parte dos recorrentes, promitentes vendedores, extinguindo-se o processo nos termos dos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. 485</w:t>
      </w:r>
      <w:proofErr w:type="gramStart"/>
      <w:r w:rsidR="008E03FF" w:rsidRPr="006D2F9B">
        <w:rPr>
          <w:rFonts w:ascii="Times New Roman" w:hAnsi="Times New Roman" w:cs="Times New Roman"/>
          <w:sz w:val="28"/>
          <w:szCs w:val="28"/>
        </w:rPr>
        <w:t>, VI</w:t>
      </w:r>
      <w:proofErr w:type="gramEnd"/>
      <w:r w:rsidR="008E03FF" w:rsidRPr="006D2F9B">
        <w:rPr>
          <w:rFonts w:ascii="Times New Roman" w:hAnsi="Times New Roman" w:cs="Times New Roman"/>
          <w:sz w:val="28"/>
          <w:szCs w:val="28"/>
        </w:rPr>
        <w:t>, c/c o art. 337, XI, do CPC, invertendo-se os ônus de sucumbência.</w:t>
      </w:r>
    </w:p>
    <w:p w:rsidR="008E03FF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Vejamos, agora, o</w:t>
      </w:r>
    </w:p>
    <w:p w:rsidR="00032357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>PEDIDO DE EFEITO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F9B">
        <w:rPr>
          <w:rFonts w:ascii="Times New Roman" w:hAnsi="Times New Roman" w:cs="Times New Roman"/>
          <w:sz w:val="28"/>
          <w:szCs w:val="28"/>
        </w:rPr>
        <w:t>SUSPENSIVO</w:t>
      </w: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Nos termos do § 5º do art. 1.029 do Código de processo Civil: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032357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57">
        <w:rPr>
          <w:rFonts w:ascii="Times New Roman" w:hAnsi="Times New Roman" w:cs="Times New Roman"/>
          <w:i/>
          <w:sz w:val="28"/>
          <w:szCs w:val="28"/>
        </w:rPr>
        <w:t>“§ 5º</w:t>
      </w:r>
      <w:r w:rsidR="00032357" w:rsidRPr="000323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2357">
        <w:rPr>
          <w:rFonts w:ascii="Times New Roman" w:hAnsi="Times New Roman" w:cs="Times New Roman"/>
          <w:i/>
          <w:sz w:val="28"/>
          <w:szCs w:val="28"/>
        </w:rPr>
        <w:t>O pedido de</w:t>
      </w:r>
      <w:r w:rsidR="00032357" w:rsidRPr="000323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2357">
        <w:rPr>
          <w:rFonts w:ascii="Times New Roman" w:hAnsi="Times New Roman" w:cs="Times New Roman"/>
          <w:i/>
          <w:sz w:val="28"/>
          <w:szCs w:val="28"/>
        </w:rPr>
        <w:t>concessão de</w:t>
      </w:r>
      <w:r w:rsidR="00032357" w:rsidRPr="000323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2357">
        <w:rPr>
          <w:rFonts w:ascii="Times New Roman" w:hAnsi="Times New Roman" w:cs="Times New Roman"/>
          <w:i/>
          <w:sz w:val="28"/>
          <w:szCs w:val="28"/>
        </w:rPr>
        <w:t>efeito suspensivo a recurso extraordinário ou a recurso especial poderá ser formulado</w:t>
      </w:r>
      <w:proofErr w:type="gramStart"/>
      <w:r w:rsidRPr="0003235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032357">
        <w:rPr>
          <w:rFonts w:ascii="Times New Roman" w:hAnsi="Times New Roman" w:cs="Times New Roman"/>
          <w:i/>
          <w:sz w:val="28"/>
          <w:szCs w:val="28"/>
        </w:rPr>
        <w:t>por requerimento</w:t>
      </w:r>
      <w:r w:rsidR="00032357" w:rsidRPr="000323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2357">
        <w:rPr>
          <w:rFonts w:ascii="Times New Roman" w:hAnsi="Times New Roman" w:cs="Times New Roman"/>
          <w:i/>
          <w:sz w:val="28"/>
          <w:szCs w:val="28"/>
        </w:rPr>
        <w:t>dirigido:</w:t>
      </w:r>
    </w:p>
    <w:p w:rsidR="008E03FF" w:rsidRPr="00032357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57">
        <w:rPr>
          <w:rFonts w:ascii="Times New Roman" w:hAnsi="Times New Roman" w:cs="Times New Roman"/>
          <w:i/>
          <w:sz w:val="28"/>
          <w:szCs w:val="28"/>
        </w:rPr>
        <w:t>–</w:t>
      </w:r>
      <w:proofErr w:type="gramStart"/>
      <w:r w:rsidRPr="0003235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032357">
        <w:rPr>
          <w:rFonts w:ascii="Times New Roman" w:hAnsi="Times New Roman" w:cs="Times New Roman"/>
          <w:i/>
          <w:sz w:val="28"/>
          <w:szCs w:val="28"/>
        </w:rPr>
        <w:t>ao  tribunal  superior  respectivo,  no  período  compreendido  entre  a</w:t>
      </w:r>
      <w:r w:rsidR="00D17144" w:rsidRPr="000323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2357">
        <w:rPr>
          <w:rFonts w:ascii="Times New Roman" w:hAnsi="Times New Roman" w:cs="Times New Roman"/>
          <w:i/>
          <w:sz w:val="28"/>
          <w:szCs w:val="28"/>
        </w:rPr>
        <w:t>interposição do recurso e sua distribuição, ficando o relator designado para seu exame prevento para julgá-lo;</w:t>
      </w:r>
    </w:p>
    <w:p w:rsidR="008E03FF" w:rsidRPr="00032357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57">
        <w:rPr>
          <w:rFonts w:ascii="Times New Roman" w:hAnsi="Times New Roman" w:cs="Times New Roman"/>
          <w:i/>
          <w:sz w:val="28"/>
          <w:szCs w:val="28"/>
        </w:rPr>
        <w:t>– ao relator, se já distribuído o recurso;</w:t>
      </w:r>
    </w:p>
    <w:p w:rsidR="008E03FF" w:rsidRPr="00032357" w:rsidRDefault="008E03FF" w:rsidP="006D2F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357">
        <w:rPr>
          <w:rFonts w:ascii="Times New Roman" w:hAnsi="Times New Roman" w:cs="Times New Roman"/>
          <w:i/>
          <w:sz w:val="28"/>
          <w:szCs w:val="28"/>
        </w:rPr>
        <w:t>– ao presidente ou vice-presidente do tribunal local, no caso de o recurso ter sido sobrestado, nos termos do art.</w:t>
      </w:r>
      <w:proofErr w:type="gramStart"/>
      <w:r w:rsidRPr="0003235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032357">
        <w:rPr>
          <w:rFonts w:ascii="Times New Roman" w:hAnsi="Times New Roman" w:cs="Times New Roman"/>
          <w:i/>
          <w:sz w:val="28"/>
          <w:szCs w:val="28"/>
        </w:rPr>
        <w:t>1.037.“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>Posta assim a questão, tendo em vista a iminência de início da execução, o que pode gerar prejuízos de difícil reparação, requer-se de Vossa Excelência a concessão de efeito suspensivo ao presente recurso, suspendendo o processo até ulterior decisão no bojo da vertente</w:t>
      </w:r>
      <w:r w:rsidR="00D17144" w:rsidRPr="006D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irresignação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.</w:t>
      </w:r>
    </w:p>
    <w:p w:rsidR="00032357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3FF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 w:rsidRPr="006D2F9B">
        <w:rPr>
          <w:rFonts w:ascii="Times New Roman" w:hAnsi="Times New Roman" w:cs="Times New Roman"/>
          <w:sz w:val="28"/>
          <w:szCs w:val="28"/>
        </w:rPr>
        <w:t>VII – REQUERIMENTOS FINAIS AO TRIBUNAL DE ORIGEM</w:t>
      </w:r>
    </w:p>
    <w:p w:rsidR="008E03FF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03FF" w:rsidRPr="006D2F9B">
        <w:rPr>
          <w:rFonts w:ascii="Times New Roman" w:hAnsi="Times New Roman" w:cs="Times New Roman"/>
          <w:sz w:val="28"/>
          <w:szCs w:val="28"/>
        </w:rPr>
        <w:t xml:space="preserve">Requer-se a intimação do recorrido, para que responda, querendo, no prazo de 15 dias, após esta manifestação de inconformismo ser recebida e protocolizada na secretaria deste Tribunal (CPC, art. 1.030); findo esse prazo com ou sem </w:t>
      </w:r>
      <w:proofErr w:type="spellStart"/>
      <w:r w:rsidR="008E03FF" w:rsidRPr="006D2F9B">
        <w:rPr>
          <w:rFonts w:ascii="Times New Roman" w:hAnsi="Times New Roman" w:cs="Times New Roman"/>
          <w:sz w:val="28"/>
          <w:szCs w:val="28"/>
        </w:rPr>
        <w:t>contrarrazões</w:t>
      </w:r>
      <w:proofErr w:type="spellEnd"/>
      <w:r w:rsidR="008E03FF" w:rsidRPr="006D2F9B">
        <w:rPr>
          <w:rFonts w:ascii="Times New Roman" w:hAnsi="Times New Roman" w:cs="Times New Roman"/>
          <w:sz w:val="28"/>
          <w:szCs w:val="28"/>
        </w:rPr>
        <w:t>, sejam remetidos incontinenti ao Superior Tribunal de Justiça, cumpridas as necessárias formalidades legais, para provimento, como medida de inteira justiça.</w:t>
      </w:r>
    </w:p>
    <w:p w:rsidR="00032357" w:rsidRPr="006D2F9B" w:rsidRDefault="00032357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2357" w:rsidRDefault="00032357" w:rsidP="00032357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32357" w:rsidRDefault="00032357" w:rsidP="00032357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32357" w:rsidRDefault="00032357" w:rsidP="00032357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032357" w:rsidRDefault="00032357" w:rsidP="00032357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32357" w:rsidRDefault="00032357" w:rsidP="00032357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32357" w:rsidRDefault="00032357" w:rsidP="00032357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032357" w:rsidRDefault="00032357" w:rsidP="00032357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8E03FF" w:rsidRPr="006D2F9B" w:rsidRDefault="008E03FF" w:rsidP="006D2F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03FF" w:rsidRPr="006D2F9B" w:rsidSect="007A5AD2">
      <w:footerReference w:type="default" r:id="rId8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A85" w:rsidRDefault="00125A85" w:rsidP="009A1E91">
      <w:pPr>
        <w:spacing w:after="0" w:line="240" w:lineRule="auto"/>
      </w:pPr>
      <w:r>
        <w:separator/>
      </w:r>
    </w:p>
  </w:endnote>
  <w:endnote w:type="continuationSeparator" w:id="1">
    <w:p w:rsidR="00125A85" w:rsidRDefault="00125A85" w:rsidP="009A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472B78" w:rsidP="00D17144">
    <w:pPr>
      <w:pStyle w:val="Corpodetexto"/>
      <w:tabs>
        <w:tab w:val="center" w:pos="4335"/>
      </w:tabs>
      <w:spacing w:before="0" w:line="14" w:lineRule="auto"/>
      <w:ind w:left="0"/>
      <w:rPr>
        <w:sz w:val="20"/>
      </w:rPr>
    </w:pPr>
    <w:r w:rsidRPr="00472B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Pr="00D17144" w:rsidRDefault="00032357" w:rsidP="00D17144"/>
            </w:txbxContent>
          </v:textbox>
          <w10:wrap anchorx="page" anchory="page"/>
        </v:shape>
      </w:pict>
    </w:r>
    <w:r w:rsidR="00D17144"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A85" w:rsidRDefault="00125A85" w:rsidP="009A1E91">
      <w:pPr>
        <w:spacing w:after="0" w:line="240" w:lineRule="auto"/>
      </w:pPr>
      <w:r>
        <w:separator/>
      </w:r>
    </w:p>
  </w:footnote>
  <w:footnote w:type="continuationSeparator" w:id="1">
    <w:p w:rsidR="00125A85" w:rsidRDefault="00125A85" w:rsidP="009A1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1C8"/>
    <w:multiLevelType w:val="hybridMultilevel"/>
    <w:tmpl w:val="3B3A98C6"/>
    <w:lvl w:ilvl="0" w:tplc="66B0D628">
      <w:start w:val="1"/>
      <w:numFmt w:val="upperRoman"/>
      <w:lvlText w:val="%1"/>
      <w:lvlJc w:val="left"/>
      <w:pPr>
        <w:ind w:left="363" w:hanging="212"/>
      </w:pPr>
      <w:rPr>
        <w:rFonts w:ascii="Arial" w:eastAsia="Arial" w:hAnsi="Arial" w:cs="Arial" w:hint="default"/>
        <w:i/>
        <w:w w:val="102"/>
        <w:sz w:val="25"/>
        <w:szCs w:val="25"/>
      </w:rPr>
    </w:lvl>
    <w:lvl w:ilvl="1" w:tplc="40D4989E">
      <w:start w:val="1"/>
      <w:numFmt w:val="bullet"/>
      <w:lvlText w:val="•"/>
      <w:lvlJc w:val="left"/>
      <w:pPr>
        <w:ind w:left="1190" w:hanging="212"/>
      </w:pPr>
      <w:rPr>
        <w:rFonts w:hint="default"/>
      </w:rPr>
    </w:lvl>
    <w:lvl w:ilvl="2" w:tplc="56C65EBE">
      <w:start w:val="1"/>
      <w:numFmt w:val="bullet"/>
      <w:lvlText w:val="•"/>
      <w:lvlJc w:val="left"/>
      <w:pPr>
        <w:ind w:left="2021" w:hanging="212"/>
      </w:pPr>
      <w:rPr>
        <w:rFonts w:hint="default"/>
      </w:rPr>
    </w:lvl>
    <w:lvl w:ilvl="3" w:tplc="1E0E547A">
      <w:start w:val="1"/>
      <w:numFmt w:val="bullet"/>
      <w:lvlText w:val="•"/>
      <w:lvlJc w:val="left"/>
      <w:pPr>
        <w:ind w:left="2851" w:hanging="212"/>
      </w:pPr>
      <w:rPr>
        <w:rFonts w:hint="default"/>
      </w:rPr>
    </w:lvl>
    <w:lvl w:ilvl="4" w:tplc="1EA06BEC">
      <w:start w:val="1"/>
      <w:numFmt w:val="bullet"/>
      <w:lvlText w:val="•"/>
      <w:lvlJc w:val="left"/>
      <w:pPr>
        <w:ind w:left="3682" w:hanging="212"/>
      </w:pPr>
      <w:rPr>
        <w:rFonts w:hint="default"/>
      </w:rPr>
    </w:lvl>
    <w:lvl w:ilvl="5" w:tplc="D0306FFE">
      <w:start w:val="1"/>
      <w:numFmt w:val="bullet"/>
      <w:lvlText w:val="•"/>
      <w:lvlJc w:val="left"/>
      <w:pPr>
        <w:ind w:left="4512" w:hanging="212"/>
      </w:pPr>
      <w:rPr>
        <w:rFonts w:hint="default"/>
      </w:rPr>
    </w:lvl>
    <w:lvl w:ilvl="6" w:tplc="EE888484">
      <w:start w:val="1"/>
      <w:numFmt w:val="bullet"/>
      <w:lvlText w:val="•"/>
      <w:lvlJc w:val="left"/>
      <w:pPr>
        <w:ind w:left="5343" w:hanging="212"/>
      </w:pPr>
      <w:rPr>
        <w:rFonts w:hint="default"/>
      </w:rPr>
    </w:lvl>
    <w:lvl w:ilvl="7" w:tplc="62304E8E">
      <w:start w:val="1"/>
      <w:numFmt w:val="bullet"/>
      <w:lvlText w:val="•"/>
      <w:lvlJc w:val="left"/>
      <w:pPr>
        <w:ind w:left="6173" w:hanging="212"/>
      </w:pPr>
      <w:rPr>
        <w:rFonts w:hint="default"/>
      </w:rPr>
    </w:lvl>
    <w:lvl w:ilvl="8" w:tplc="2D6866AE">
      <w:start w:val="1"/>
      <w:numFmt w:val="bullet"/>
      <w:lvlText w:val="•"/>
      <w:lvlJc w:val="left"/>
      <w:pPr>
        <w:ind w:left="7004" w:hanging="212"/>
      </w:pPr>
      <w:rPr>
        <w:rFonts w:hint="default"/>
      </w:rPr>
    </w:lvl>
  </w:abstractNum>
  <w:abstractNum w:abstractNumId="1">
    <w:nsid w:val="18F22510"/>
    <w:multiLevelType w:val="hybridMultilevel"/>
    <w:tmpl w:val="447221A8"/>
    <w:lvl w:ilvl="0" w:tplc="750E3CF0">
      <w:start w:val="2"/>
      <w:numFmt w:val="upperRoman"/>
      <w:lvlText w:val="%1"/>
      <w:lvlJc w:val="left"/>
      <w:pPr>
        <w:ind w:left="108" w:hanging="226"/>
      </w:pPr>
      <w:rPr>
        <w:rFonts w:hint="default"/>
        <w:b/>
        <w:bCs/>
        <w:spacing w:val="-1"/>
        <w:w w:val="100"/>
      </w:rPr>
    </w:lvl>
    <w:lvl w:ilvl="1" w:tplc="423EB38A">
      <w:start w:val="1"/>
      <w:numFmt w:val="bullet"/>
      <w:lvlText w:val="•"/>
      <w:lvlJc w:val="left"/>
      <w:pPr>
        <w:ind w:left="956" w:hanging="226"/>
      </w:pPr>
      <w:rPr>
        <w:rFonts w:hint="default"/>
      </w:rPr>
    </w:lvl>
    <w:lvl w:ilvl="2" w:tplc="23DE7208">
      <w:start w:val="1"/>
      <w:numFmt w:val="bullet"/>
      <w:lvlText w:val="•"/>
      <w:lvlJc w:val="left"/>
      <w:pPr>
        <w:ind w:left="1813" w:hanging="226"/>
      </w:pPr>
      <w:rPr>
        <w:rFonts w:hint="default"/>
      </w:rPr>
    </w:lvl>
    <w:lvl w:ilvl="3" w:tplc="1A1ABF56">
      <w:start w:val="1"/>
      <w:numFmt w:val="bullet"/>
      <w:lvlText w:val="•"/>
      <w:lvlJc w:val="left"/>
      <w:pPr>
        <w:ind w:left="2669" w:hanging="226"/>
      </w:pPr>
      <w:rPr>
        <w:rFonts w:hint="default"/>
      </w:rPr>
    </w:lvl>
    <w:lvl w:ilvl="4" w:tplc="D7464EF6">
      <w:start w:val="1"/>
      <w:numFmt w:val="bullet"/>
      <w:lvlText w:val="•"/>
      <w:lvlJc w:val="left"/>
      <w:pPr>
        <w:ind w:left="3526" w:hanging="226"/>
      </w:pPr>
      <w:rPr>
        <w:rFonts w:hint="default"/>
      </w:rPr>
    </w:lvl>
    <w:lvl w:ilvl="5" w:tplc="ABC40976">
      <w:start w:val="1"/>
      <w:numFmt w:val="bullet"/>
      <w:lvlText w:val="•"/>
      <w:lvlJc w:val="left"/>
      <w:pPr>
        <w:ind w:left="4382" w:hanging="226"/>
      </w:pPr>
      <w:rPr>
        <w:rFonts w:hint="default"/>
      </w:rPr>
    </w:lvl>
    <w:lvl w:ilvl="6" w:tplc="48BA7322">
      <w:start w:val="1"/>
      <w:numFmt w:val="bullet"/>
      <w:lvlText w:val="•"/>
      <w:lvlJc w:val="left"/>
      <w:pPr>
        <w:ind w:left="5239" w:hanging="226"/>
      </w:pPr>
      <w:rPr>
        <w:rFonts w:hint="default"/>
      </w:rPr>
    </w:lvl>
    <w:lvl w:ilvl="7" w:tplc="82208CD4">
      <w:start w:val="1"/>
      <w:numFmt w:val="bullet"/>
      <w:lvlText w:val="•"/>
      <w:lvlJc w:val="left"/>
      <w:pPr>
        <w:ind w:left="6095" w:hanging="226"/>
      </w:pPr>
      <w:rPr>
        <w:rFonts w:hint="default"/>
      </w:rPr>
    </w:lvl>
    <w:lvl w:ilvl="8" w:tplc="32AEA2EC">
      <w:start w:val="1"/>
      <w:numFmt w:val="bullet"/>
      <w:lvlText w:val="•"/>
      <w:lvlJc w:val="left"/>
      <w:pPr>
        <w:ind w:left="6952" w:hanging="226"/>
      </w:pPr>
      <w:rPr>
        <w:rFonts w:hint="default"/>
      </w:rPr>
    </w:lvl>
  </w:abstractNum>
  <w:abstractNum w:abstractNumId="2">
    <w:nsid w:val="275A691F"/>
    <w:multiLevelType w:val="hybridMultilevel"/>
    <w:tmpl w:val="50CC0B5A"/>
    <w:lvl w:ilvl="0" w:tplc="B8FE71A8">
      <w:start w:val="1"/>
      <w:numFmt w:val="decimal"/>
      <w:lvlText w:val="%1."/>
      <w:lvlJc w:val="left"/>
      <w:pPr>
        <w:ind w:left="378" w:hanging="301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A7920F4A">
      <w:start w:val="1"/>
      <w:numFmt w:val="bullet"/>
      <w:lvlText w:val="•"/>
      <w:lvlJc w:val="left"/>
      <w:pPr>
        <w:ind w:left="460" w:hanging="301"/>
      </w:pPr>
      <w:rPr>
        <w:rFonts w:hint="default"/>
      </w:rPr>
    </w:lvl>
    <w:lvl w:ilvl="2" w:tplc="ED34AB1E">
      <w:start w:val="1"/>
      <w:numFmt w:val="bullet"/>
      <w:lvlText w:val="•"/>
      <w:lvlJc w:val="left"/>
      <w:pPr>
        <w:ind w:left="1371" w:hanging="301"/>
      </w:pPr>
      <w:rPr>
        <w:rFonts w:hint="default"/>
      </w:rPr>
    </w:lvl>
    <w:lvl w:ilvl="3" w:tplc="4058BFE8">
      <w:start w:val="1"/>
      <w:numFmt w:val="bullet"/>
      <w:lvlText w:val="•"/>
      <w:lvlJc w:val="left"/>
      <w:pPr>
        <w:ind w:left="2283" w:hanging="301"/>
      </w:pPr>
      <w:rPr>
        <w:rFonts w:hint="default"/>
      </w:rPr>
    </w:lvl>
    <w:lvl w:ilvl="4" w:tplc="DE26EBDA">
      <w:start w:val="1"/>
      <w:numFmt w:val="bullet"/>
      <w:lvlText w:val="•"/>
      <w:lvlJc w:val="left"/>
      <w:pPr>
        <w:ind w:left="3195" w:hanging="301"/>
      </w:pPr>
      <w:rPr>
        <w:rFonts w:hint="default"/>
      </w:rPr>
    </w:lvl>
    <w:lvl w:ilvl="5" w:tplc="981CD39E">
      <w:start w:val="1"/>
      <w:numFmt w:val="bullet"/>
      <w:lvlText w:val="•"/>
      <w:lvlJc w:val="left"/>
      <w:pPr>
        <w:ind w:left="4106" w:hanging="301"/>
      </w:pPr>
      <w:rPr>
        <w:rFonts w:hint="default"/>
      </w:rPr>
    </w:lvl>
    <w:lvl w:ilvl="6" w:tplc="EBFA8CB6">
      <w:start w:val="1"/>
      <w:numFmt w:val="bullet"/>
      <w:lvlText w:val="•"/>
      <w:lvlJc w:val="left"/>
      <w:pPr>
        <w:ind w:left="5018" w:hanging="301"/>
      </w:pPr>
      <w:rPr>
        <w:rFonts w:hint="default"/>
      </w:rPr>
    </w:lvl>
    <w:lvl w:ilvl="7" w:tplc="860607A6">
      <w:start w:val="1"/>
      <w:numFmt w:val="bullet"/>
      <w:lvlText w:val="•"/>
      <w:lvlJc w:val="left"/>
      <w:pPr>
        <w:ind w:left="5930" w:hanging="301"/>
      </w:pPr>
      <w:rPr>
        <w:rFonts w:hint="default"/>
      </w:rPr>
    </w:lvl>
    <w:lvl w:ilvl="8" w:tplc="C598FFE4">
      <w:start w:val="1"/>
      <w:numFmt w:val="bullet"/>
      <w:lvlText w:val="•"/>
      <w:lvlJc w:val="left"/>
      <w:pPr>
        <w:ind w:left="6842" w:hanging="301"/>
      </w:pPr>
      <w:rPr>
        <w:rFonts w:hint="default"/>
      </w:rPr>
    </w:lvl>
  </w:abstractNum>
  <w:abstractNum w:abstractNumId="3">
    <w:nsid w:val="45004FA4"/>
    <w:multiLevelType w:val="multilevel"/>
    <w:tmpl w:val="C700FA5A"/>
    <w:lvl w:ilvl="0">
      <w:start w:val="1"/>
      <w:numFmt w:val="decimal"/>
      <w:lvlText w:val="%1."/>
      <w:lvlJc w:val="left"/>
      <w:pPr>
        <w:ind w:left="108" w:hanging="338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>
      <w:start w:val="1"/>
      <w:numFmt w:val="decimal"/>
      <w:lvlText w:val="%1.%2."/>
      <w:lvlJc w:val="left"/>
      <w:pPr>
        <w:ind w:left="903" w:hanging="52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2">
      <w:start w:val="1"/>
      <w:numFmt w:val="bullet"/>
      <w:lvlText w:val="•"/>
      <w:lvlJc w:val="left"/>
      <w:pPr>
        <w:ind w:left="1762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5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8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1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4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77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9" w:hanging="526"/>
      </w:pPr>
      <w:rPr>
        <w:rFonts w:hint="default"/>
      </w:rPr>
    </w:lvl>
  </w:abstractNum>
  <w:abstractNum w:abstractNumId="4">
    <w:nsid w:val="54063898"/>
    <w:multiLevelType w:val="hybridMultilevel"/>
    <w:tmpl w:val="B6FEE174"/>
    <w:lvl w:ilvl="0" w:tplc="B3D235E8">
      <w:start w:val="5"/>
      <w:numFmt w:val="upperRoman"/>
      <w:lvlText w:val="%1"/>
      <w:lvlJc w:val="left"/>
      <w:pPr>
        <w:ind w:left="648" w:hanging="27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54268D1A">
      <w:start w:val="1"/>
      <w:numFmt w:val="bullet"/>
      <w:lvlText w:val="•"/>
      <w:lvlJc w:val="left"/>
      <w:pPr>
        <w:ind w:left="1442" w:hanging="271"/>
      </w:pPr>
      <w:rPr>
        <w:rFonts w:hint="default"/>
      </w:rPr>
    </w:lvl>
    <w:lvl w:ilvl="2" w:tplc="A7DAC4A8">
      <w:start w:val="1"/>
      <w:numFmt w:val="bullet"/>
      <w:lvlText w:val="•"/>
      <w:lvlJc w:val="left"/>
      <w:pPr>
        <w:ind w:left="2245" w:hanging="271"/>
      </w:pPr>
      <w:rPr>
        <w:rFonts w:hint="default"/>
      </w:rPr>
    </w:lvl>
    <w:lvl w:ilvl="3" w:tplc="04FC858A">
      <w:start w:val="1"/>
      <w:numFmt w:val="bullet"/>
      <w:lvlText w:val="•"/>
      <w:lvlJc w:val="left"/>
      <w:pPr>
        <w:ind w:left="3047" w:hanging="271"/>
      </w:pPr>
      <w:rPr>
        <w:rFonts w:hint="default"/>
      </w:rPr>
    </w:lvl>
    <w:lvl w:ilvl="4" w:tplc="806E84BA">
      <w:start w:val="1"/>
      <w:numFmt w:val="bullet"/>
      <w:lvlText w:val="•"/>
      <w:lvlJc w:val="left"/>
      <w:pPr>
        <w:ind w:left="3850" w:hanging="271"/>
      </w:pPr>
      <w:rPr>
        <w:rFonts w:hint="default"/>
      </w:rPr>
    </w:lvl>
    <w:lvl w:ilvl="5" w:tplc="57665260">
      <w:start w:val="1"/>
      <w:numFmt w:val="bullet"/>
      <w:lvlText w:val="•"/>
      <w:lvlJc w:val="left"/>
      <w:pPr>
        <w:ind w:left="4652" w:hanging="271"/>
      </w:pPr>
      <w:rPr>
        <w:rFonts w:hint="default"/>
      </w:rPr>
    </w:lvl>
    <w:lvl w:ilvl="6" w:tplc="BCC8FD92">
      <w:start w:val="1"/>
      <w:numFmt w:val="bullet"/>
      <w:lvlText w:val="•"/>
      <w:lvlJc w:val="left"/>
      <w:pPr>
        <w:ind w:left="5455" w:hanging="271"/>
      </w:pPr>
      <w:rPr>
        <w:rFonts w:hint="default"/>
      </w:rPr>
    </w:lvl>
    <w:lvl w:ilvl="7" w:tplc="8E5C0686">
      <w:start w:val="1"/>
      <w:numFmt w:val="bullet"/>
      <w:lvlText w:val="•"/>
      <w:lvlJc w:val="left"/>
      <w:pPr>
        <w:ind w:left="6257" w:hanging="271"/>
      </w:pPr>
      <w:rPr>
        <w:rFonts w:hint="default"/>
      </w:rPr>
    </w:lvl>
    <w:lvl w:ilvl="8" w:tplc="8FFAF010">
      <w:start w:val="1"/>
      <w:numFmt w:val="bullet"/>
      <w:lvlText w:val="•"/>
      <w:lvlJc w:val="left"/>
      <w:pPr>
        <w:ind w:left="7060" w:hanging="27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E03FF"/>
    <w:rsid w:val="00032357"/>
    <w:rsid w:val="000C6C62"/>
    <w:rsid w:val="00125A85"/>
    <w:rsid w:val="00134AC6"/>
    <w:rsid w:val="003E5118"/>
    <w:rsid w:val="00472B78"/>
    <w:rsid w:val="006D2F9B"/>
    <w:rsid w:val="00750A63"/>
    <w:rsid w:val="00772FE2"/>
    <w:rsid w:val="007A5AD2"/>
    <w:rsid w:val="0085146A"/>
    <w:rsid w:val="008E03FF"/>
    <w:rsid w:val="009A1E91"/>
    <w:rsid w:val="00A20D77"/>
    <w:rsid w:val="00AD1060"/>
    <w:rsid w:val="00D17144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8E03FF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E03FF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E03FF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E03FF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8E03FF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D171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7144"/>
  </w:style>
  <w:style w:type="paragraph" w:styleId="Rodap">
    <w:name w:val="footer"/>
    <w:basedOn w:val="Normal"/>
    <w:link w:val="RodapChar"/>
    <w:uiPriority w:val="99"/>
    <w:semiHidden/>
    <w:unhideWhenUsed/>
    <w:rsid w:val="00D171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7144"/>
  </w:style>
  <w:style w:type="character" w:styleId="Hyperlink">
    <w:name w:val="Hyperlink"/>
    <w:basedOn w:val="Fontepargpadro"/>
    <w:uiPriority w:val="99"/>
    <w:unhideWhenUsed/>
    <w:rsid w:val="006D2F9B"/>
    <w:rPr>
      <w:color w:val="0000FF" w:themeColor="hyperlink"/>
      <w:u w:val="single"/>
    </w:rPr>
  </w:style>
  <w:style w:type="paragraph" w:customStyle="1" w:styleId="Corpodotexto">
    <w:name w:val="Corpo do texto"/>
    <w:basedOn w:val="Normal"/>
    <w:uiPriority w:val="1"/>
    <w:qFormat/>
    <w:rsid w:val="00032357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EF0F-EA1D-4CF6-B227-71BA7C1F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4262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2016-03-16T22:04:00Z</dcterms:created>
  <dcterms:modified xsi:type="dcterms:W3CDTF">2016-03-19T17:39:00Z</dcterms:modified>
</cp:coreProperties>
</file>